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85F" w:rsidRDefault="0080785F">
      <w:pPr>
        <w:tabs>
          <w:tab w:val="left" w:pos="4251"/>
          <w:tab w:val="center" w:pos="5102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80785F" w:rsidRDefault="0080785F">
      <w:pPr>
        <w:spacing w:after="0" w:line="100" w:lineRule="atLeas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годового отчета об исполнении бюджета муниципального образования «Большесолдатский сельсовет» Курской области за 2023 год.</w:t>
      </w:r>
    </w:p>
    <w:p w:rsidR="0080785F" w:rsidRDefault="0080785F">
      <w:pPr>
        <w:spacing w:after="0" w:line="100" w:lineRule="atLeast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80785F" w:rsidRDefault="0080785F">
      <w:pPr>
        <w:tabs>
          <w:tab w:val="left" w:pos="737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Большое Солдатское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17.04.2024</w:t>
      </w:r>
    </w:p>
    <w:p w:rsidR="0080785F" w:rsidRDefault="008078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0785F" w:rsidRDefault="0080785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Основание для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264.4 Бюджетного кодекса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пункт 1.10.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I Плана работы Ревизионной комиссии Большесолдатского района Курской области на 2024 год, утвержденного распоряжением Ревизионной комиссии Большесолдатского района Курской области от 19.12.2023 № 26. </w:t>
      </w:r>
    </w:p>
    <w:p w:rsidR="0080785F" w:rsidRDefault="0080785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 проведения контрольного мероприятия: камерально.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Цель контрольного мероприятия: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 представленного отчета об исполнении местного бюджета за 2023 год.</w:t>
      </w:r>
    </w:p>
    <w:p w:rsidR="0080785F" w:rsidRDefault="0080785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80785F" w:rsidRDefault="0080785F">
      <w:pPr>
        <w:pStyle w:val="2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  <w:t>Провести анализ исполнения доходов местного бюджета.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Провести анализ исполнения расходной части местного бюджета.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 ограничений, установленных статьей 136 Бюджетного кодекса РФ.</w:t>
      </w:r>
    </w:p>
    <w:p w:rsidR="0080785F" w:rsidRDefault="0080785F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  <w:t>Провести анализ источников финансирования дефицита бюджета. Соблюдение ограничений, установленных ст. 92.1 Бюджетного кодекса РФ.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ab/>
        <w:t>Провести анализ муниципального долга. Соблюдение ограничений, установленных ст.107 Бюджетного кодекса РФ в части предельного объема муниципального долга.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ab/>
        <w:t>Провести анализ баланса (дебиторской и кредиторской задолженности).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ab/>
        <w:t>Провести анализ использования бюджетных средств, выделенных на реализацию федеральных проектов (региональных проектов), достижения установленных целей и показателей.</w:t>
      </w:r>
    </w:p>
    <w:p w:rsidR="0080785F" w:rsidRDefault="0080785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85F" w:rsidRDefault="0080785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Предмет контрольного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главного администратора средств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бюджета муниципального образования «Большесолдатский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 формированию бюджетной отчетности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2023 год.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Объект контрольного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 сельсовет Большесолдатского района Курской области.</w:t>
      </w:r>
    </w:p>
    <w:p w:rsidR="0080785F" w:rsidRDefault="00807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Проверяемый период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год.</w:t>
      </w:r>
    </w:p>
    <w:p w:rsidR="0080785F" w:rsidRDefault="00807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Срок проведения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с 03.04.2024г. по 17.04.2024г.</w:t>
      </w:r>
    </w:p>
    <w:p w:rsidR="0080785F" w:rsidRDefault="00807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Состав ответственных исполнителей: 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Председатель Ревизионной комиссии Большесолдатского района Курской области Гридина Ольга Николаевна.</w:t>
      </w:r>
    </w:p>
    <w:p w:rsidR="0080785F" w:rsidRDefault="00807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  <w:t>В ходе контрольного мероприятия установлено следующее: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доходов местного бюджета.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«Большесолдатский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(форма 0503117) </w:t>
      </w:r>
      <w:r>
        <w:rPr>
          <w:rFonts w:ascii="Times New Roman" w:hAnsi="Times New Roman" w:cs="Times New Roman"/>
          <w:sz w:val="28"/>
          <w:szCs w:val="28"/>
        </w:rPr>
        <w:t>доходы бюджета составили 13414,880 тыс. рублей или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101,5 %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запланированного объема поступлений (13610,259 тыс. рублей),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в том числе в разрезе источников доходов:</w:t>
      </w:r>
    </w:p>
    <w:p w:rsidR="0080785F" w:rsidRDefault="0080785F">
      <w:pPr>
        <w:tabs>
          <w:tab w:val="left" w:pos="89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>тыс. рублей</w:t>
      </w:r>
    </w:p>
    <w:tbl>
      <w:tblPr>
        <w:tblW w:w="966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2"/>
        <w:gridCol w:w="1559"/>
        <w:gridCol w:w="1418"/>
        <w:gridCol w:w="1559"/>
      </w:tblGrid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59" w:type="dxa"/>
            <w:shd w:val="clear" w:color="auto" w:fill="FFFFFF"/>
          </w:tcPr>
          <w:p w:rsidR="00E323C1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firstLin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- ВСЕГО, в т. ч.: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13414,9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13610,3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5846,1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6041,5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814,8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814,8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507,5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4459,4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4533,8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7568,8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7568,7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ПОСЛУПЛЕНИЯ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7529,8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7529,7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3363,7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3363,7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4166,1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4166,1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85F" w:rsidTr="00E3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5132" w:type="dxa"/>
            <w:shd w:val="clear" w:color="auto" w:fill="FFFFFF"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  <w:shd w:val="clear" w:color="auto" w:fill="FFFFFF"/>
          </w:tcPr>
          <w:p w:rsidR="0080785F" w:rsidRDefault="0080785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 общем объеме доходов бюджета муниципального образования в 2023 году наибольшую долю составили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- 55,5</w:t>
      </w:r>
      <w:r>
        <w:rPr>
          <w:rFonts w:ascii="Times New Roman" w:hAnsi="Times New Roman" w:cs="Times New Roman"/>
          <w:sz w:val="28"/>
          <w:szCs w:val="28"/>
        </w:rPr>
        <w:t xml:space="preserve"> % или 7568,7 тыс. рублей, доля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налоговых и неналоговых доходов составила 44,4 % или 6041,5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тыс. рублей от </w:t>
      </w:r>
      <w:r>
        <w:rPr>
          <w:rFonts w:ascii="Times New Roman" w:hAnsi="Times New Roman" w:cs="Times New Roman"/>
          <w:sz w:val="28"/>
          <w:szCs w:val="28"/>
        </w:rPr>
        <w:t>общего объема поступлений.</w:t>
      </w:r>
      <w:r>
        <w:rPr>
          <w:sz w:val="28"/>
          <w:szCs w:val="28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составило 6041,5 тыс. рублей или 103,3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% плановых назначений (5846,1 тыс. рублей), перевыполнение составило 195,4 тыс. рублей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основном по налогам на имущество в сумме 4533,8 тыс. рублей).</w:t>
      </w:r>
    </w:p>
    <w:p w:rsidR="0080785F" w:rsidRDefault="008078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7568,7 тыс. рублей или 100 % плановых назначений (7568,8 тыс. рублей).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от других бюджетов бюджетной системы РФ составил 7568,7 тыс. рублей или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100% </w:t>
      </w:r>
      <w:r>
        <w:rPr>
          <w:rFonts w:ascii="Times New Roman" w:hAnsi="Times New Roman" w:cs="Times New Roman"/>
          <w:sz w:val="28"/>
          <w:szCs w:val="28"/>
        </w:rPr>
        <w:t xml:space="preserve">от общего объема безвозмездных поступлений.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объем доходов в структуре безвозмездных поступлений от других бюджетов бюджетной системы РФ занимают: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дотации – 3363,7 тыс. рублей или 100,0%;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субсидии – </w:t>
      </w:r>
      <w:r>
        <w:rPr>
          <w:rFonts w:ascii="Times New Roman" w:hAnsi="Times New Roman" w:cs="Times New Roman"/>
          <w:sz w:val="28"/>
          <w:szCs w:val="28"/>
        </w:rPr>
        <w:t xml:space="preserve">4166,1 </w:t>
      </w:r>
      <w:r>
        <w:rPr>
          <w:rFonts w:ascii="Times New Roman" w:hAnsi="Times New Roman" w:cs="Times New Roman"/>
          <w:sz w:val="28"/>
        </w:rPr>
        <w:t xml:space="preserve">тыс. рублей или 100,0 %;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прочие безвозмездные поступления  – </w:t>
      </w:r>
      <w:r>
        <w:rPr>
          <w:rFonts w:ascii="Times New Roman" w:hAnsi="Times New Roman" w:cs="Times New Roman"/>
          <w:sz w:val="28"/>
          <w:szCs w:val="28"/>
        </w:rPr>
        <w:t xml:space="preserve">39,0 </w:t>
      </w:r>
      <w:r>
        <w:rPr>
          <w:rFonts w:ascii="Times New Roman" w:hAnsi="Times New Roman" w:cs="Times New Roman"/>
          <w:sz w:val="28"/>
        </w:rPr>
        <w:t xml:space="preserve">тыс. рублей или 100,0%;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иные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</w:rPr>
        <w:t>тыс. рублей или 0,0%.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Возврат остатков субсидий, субвенций и иных межбюджетных трансфертов, имеющих целевое назначение, прошлых лет составил 0,0 тыс. рублей.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Сверх утвержденного плана в бюджет муниципального образования в 2023 году поступили доходы в общей сумме 195,4 тыс. рублей. Исполнение составило 101,5 % и сложилось по следующим подгруппам доходов:</w:t>
      </w:r>
    </w:p>
    <w:p w:rsidR="0080785F" w:rsidRDefault="008078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1)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ab/>
        <w:t>по подгруппе доходов «Налоги на прибыль, доходы» исполнение составило 118,5% от утвержденных бюджетных назначений. При плане 814,8 тыс. рублей за 2023 год поступило 965,8 тыс. рублей. Поступило сверх утвержденного плана в бюджет муниципального образования – 151,0 тыс. рублей, за счет увеличения объема поступлений НДФЛ, в связи с выплатой  премий работникам по итогам года;</w:t>
      </w:r>
    </w:p>
    <w:p w:rsidR="0080785F" w:rsidRPr="00E834C8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17220A">
        <w:rPr>
          <w:rFonts w:ascii="Times New Roman" w:eastAsia="Calibri" w:hAnsi="Times New Roman" w:cs="Times New Roman"/>
          <w:spacing w:val="-3"/>
          <w:sz w:val="28"/>
          <w:szCs w:val="28"/>
        </w:rPr>
        <w:t>2)</w:t>
      </w:r>
      <w:r w:rsidRPr="0017220A">
        <w:rPr>
          <w:rFonts w:ascii="Times New Roman" w:eastAsia="Calibri" w:hAnsi="Times New Roman" w:cs="Times New Roman"/>
          <w:spacing w:val="-3"/>
          <w:sz w:val="28"/>
          <w:szCs w:val="28"/>
        </w:rPr>
        <w:tab/>
        <w:t>по подгруппе доходов «Налоги на имущество» поступили доходы в сумме 4533,8 тыс. рублей или 101,7% утвержденных назначений (4459,4 тыс. рублей). В бюджет муниципального образования поступили средства в сумме 74,4 тыс.</w:t>
      </w:r>
      <w:r w:rsidR="00800D88" w:rsidRPr="0017220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рублей сверх утвержденного </w:t>
      </w:r>
      <w:r w:rsidR="00800D88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план</w:t>
      </w:r>
      <w:r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а. Основными причинами перевыполнения </w:t>
      </w:r>
      <w:r w:rsidR="007937C7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показателей </w:t>
      </w:r>
      <w:r w:rsidR="007937C7" w:rsidRPr="003A20DF">
        <w:rPr>
          <w:rFonts w:ascii="Times New Roman" w:hAnsi="Times New Roman" w:cs="Times New Roman"/>
          <w:sz w:val="28"/>
          <w:szCs w:val="28"/>
        </w:rPr>
        <w:t>связано с</w:t>
      </w:r>
      <w:r w:rsidR="007937C7" w:rsidRPr="003A20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37C7" w:rsidRPr="003A20DF">
        <w:rPr>
          <w:rFonts w:ascii="Times New Roman" w:hAnsi="Times New Roman" w:cs="Times New Roman"/>
          <w:color w:val="000000"/>
          <w:sz w:val="28"/>
          <w:szCs w:val="28"/>
        </w:rPr>
        <w:t>уплатой в полном объеме</w:t>
      </w:r>
      <w:r w:rsidR="007937C7" w:rsidRPr="003A20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37C7" w:rsidRPr="003A20DF">
        <w:rPr>
          <w:rFonts w:ascii="Times New Roman" w:hAnsi="Times New Roman" w:cs="Times New Roman"/>
          <w:color w:val="000000"/>
          <w:sz w:val="28"/>
          <w:szCs w:val="28"/>
        </w:rPr>
        <w:t>текущих платежей</w:t>
      </w:r>
      <w:r w:rsidR="00B45CCD" w:rsidRPr="003A20DF">
        <w:rPr>
          <w:rFonts w:ascii="Times New Roman" w:hAnsi="Times New Roman" w:cs="Times New Roman"/>
          <w:color w:val="000000"/>
          <w:sz w:val="28"/>
          <w:szCs w:val="28"/>
        </w:rPr>
        <w:t>. На перевыполнение повлияло</w:t>
      </w:r>
      <w:r w:rsidR="007937C7" w:rsidRPr="003A20DF">
        <w:rPr>
          <w:rFonts w:ascii="Times New Roman" w:hAnsi="Times New Roman" w:cs="Times New Roman"/>
          <w:sz w:val="28"/>
          <w:szCs w:val="28"/>
        </w:rPr>
        <w:t xml:space="preserve"> доначислен</w:t>
      </w:r>
      <w:r w:rsidR="00B45CCD" w:rsidRPr="003A20DF">
        <w:rPr>
          <w:rFonts w:ascii="Times New Roman" w:hAnsi="Times New Roman" w:cs="Times New Roman"/>
          <w:sz w:val="28"/>
          <w:szCs w:val="28"/>
        </w:rPr>
        <w:t>ие</w:t>
      </w:r>
      <w:r w:rsidR="007937C7" w:rsidRPr="003A20DF">
        <w:rPr>
          <w:rFonts w:ascii="Times New Roman" w:hAnsi="Times New Roman" w:cs="Times New Roman"/>
          <w:sz w:val="28"/>
          <w:szCs w:val="28"/>
        </w:rPr>
        <w:t xml:space="preserve"> по</w:t>
      </w:r>
      <w:r w:rsidR="007937C7" w:rsidRPr="0017220A">
        <w:rPr>
          <w:rFonts w:ascii="Times New Roman" w:hAnsi="Times New Roman" w:cs="Times New Roman"/>
          <w:sz w:val="28"/>
          <w:szCs w:val="28"/>
        </w:rPr>
        <w:t xml:space="preserve"> актам налоговых проверок сумм данного налога, а так же их уплатой</w:t>
      </w:r>
      <w:r w:rsidR="00B45CCD" w:rsidRPr="0017220A">
        <w:rPr>
          <w:rFonts w:ascii="Times New Roman" w:hAnsi="Times New Roman" w:cs="Times New Roman"/>
          <w:sz w:val="28"/>
          <w:szCs w:val="28"/>
        </w:rPr>
        <w:t xml:space="preserve">,  погашением недоимки прошлых лет, отмены льгот. Увеличилась доходная база (приватизация квартир). </w:t>
      </w:r>
    </w:p>
    <w:p w:rsidR="0080785F" w:rsidRPr="003A20DF" w:rsidRDefault="00807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E834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3) по подгруппе доходов «Налоги на совокупный доход» исполнение составило 507,5 тыс. рублей или 99,5 % утвержденных назначений (510,0 тыс. рублей). В бюджет муниципального образования не поступили средства в сумме 2,5 тыс. рублей. </w:t>
      </w:r>
      <w:r w:rsidR="008A6F22" w:rsidRPr="00E834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Этот налог </w:t>
      </w:r>
      <w:r w:rsidR="008A6F22" w:rsidRPr="00E8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платят субъекты малого и среднего предпринимательства. </w:t>
      </w:r>
      <w:r w:rsidR="0017220A" w:rsidRPr="00E834C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A6F22" w:rsidRPr="00E834C8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оступления из этого источника</w:t>
      </w:r>
      <w:r w:rsidR="00866761" w:rsidRPr="00E8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866761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год </w:t>
      </w:r>
      <w:r w:rsidR="008A6F22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составили </w:t>
      </w:r>
      <w:r w:rsidR="00866761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8,4</w:t>
      </w:r>
      <w:r w:rsidR="008A6F22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процента от общего объема налоговых доходов местн</w:t>
      </w:r>
      <w:r w:rsidR="00866761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8A6F22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17220A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6F22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Причинами являются уменьшение количества налогоплательщиков</w:t>
      </w:r>
      <w:r w:rsidR="00866761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, закрытие предпринимательства, уменьшение реализации продукции </w:t>
      </w:r>
      <w:r w:rsidR="00962A3B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в связи с введением</w:t>
      </w:r>
      <w:r w:rsidR="00866761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са</w:t>
      </w:r>
      <w:r w:rsidR="00962A3B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н</w:t>
      </w:r>
      <w:r w:rsidR="00866761"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кций</w:t>
      </w:r>
      <w:r w:rsidRPr="003A20DF">
        <w:rPr>
          <w:rFonts w:ascii="Times New Roman" w:eastAsia="Calibri" w:hAnsi="Times New Roman" w:cs="Times New Roman"/>
          <w:spacing w:val="-3"/>
          <w:sz w:val="28"/>
          <w:szCs w:val="28"/>
        </w:rPr>
        <w:t>;</w:t>
      </w:r>
    </w:p>
    <w:p w:rsidR="007937C7" w:rsidRPr="00030679" w:rsidRDefault="0080785F" w:rsidP="003A20DF">
      <w:pPr>
        <w:pStyle w:val="aff"/>
        <w:ind w:firstLine="709"/>
        <w:jc w:val="both"/>
        <w:rPr>
          <w:sz w:val="28"/>
          <w:szCs w:val="28"/>
        </w:rPr>
      </w:pPr>
      <w:r w:rsidRPr="003A20DF">
        <w:rPr>
          <w:rFonts w:eastAsia="Calibri"/>
          <w:sz w:val="28"/>
          <w:szCs w:val="28"/>
        </w:rPr>
        <w:t>4)</w:t>
      </w:r>
      <w:r w:rsidRPr="003A20DF">
        <w:rPr>
          <w:rFonts w:eastAsia="Calibri"/>
          <w:sz w:val="28"/>
          <w:szCs w:val="28"/>
        </w:rPr>
        <w:tab/>
        <w:t>по подгруппе доходов «Доходы от использования имущества, находящегося в государственной и муниципальной собственности» поступили доходы в сумме 24,5 тыс. рублей или 47,2 % утвержденных назначений (51,9 тыс. рублей). В бюджет муниципального района не поступили средства в сумме 27,4 тыс. рублей. Причинами являются уменьшение</w:t>
      </w:r>
      <w:r w:rsidR="007937C7" w:rsidRPr="003A20DF">
        <w:rPr>
          <w:rFonts w:eastAsia="Calibri"/>
          <w:sz w:val="28"/>
          <w:szCs w:val="28"/>
        </w:rPr>
        <w:t xml:space="preserve"> стоимости арендной платы имущества, находящегося в муниципальной собственности. </w:t>
      </w:r>
      <w:r w:rsidR="00B96824" w:rsidRPr="003A20DF">
        <w:rPr>
          <w:rFonts w:eastAsia="Calibri"/>
          <w:sz w:val="28"/>
          <w:szCs w:val="28"/>
        </w:rPr>
        <w:t xml:space="preserve">В администрации Большесолдатского сельсовета </w:t>
      </w:r>
      <w:r w:rsidR="00B96824" w:rsidRPr="003A20DF">
        <w:rPr>
          <w:sz w:val="28"/>
          <w:szCs w:val="28"/>
        </w:rPr>
        <w:t>действуют два договора аренды объектов недвижимости. По одному договору аренды  к</w:t>
      </w:r>
      <w:r w:rsidR="007937C7" w:rsidRPr="003A20DF">
        <w:rPr>
          <w:rFonts w:eastAsia="Calibri"/>
          <w:sz w:val="28"/>
          <w:szCs w:val="28"/>
        </w:rPr>
        <w:t>оммунальные электрические сети, находящиеся в аренде у  филиала ПАО «Россети-Центр» - «Курскэнерго</w:t>
      </w:r>
      <w:r w:rsidR="007937C7" w:rsidRPr="00030679">
        <w:rPr>
          <w:rFonts w:eastAsia="Calibri"/>
          <w:sz w:val="28"/>
          <w:szCs w:val="28"/>
        </w:rPr>
        <w:t>»</w:t>
      </w:r>
      <w:r w:rsidR="007937C7" w:rsidRPr="00030679">
        <w:rPr>
          <w:sz w:val="28"/>
          <w:szCs w:val="28"/>
        </w:rPr>
        <w:t xml:space="preserve"> полностью с амортизированы, 3 объекта  исключены из реестра муниципальной собственности.</w:t>
      </w:r>
      <w:r w:rsidR="00B96824" w:rsidRPr="00030679">
        <w:rPr>
          <w:sz w:val="28"/>
          <w:szCs w:val="28"/>
        </w:rPr>
        <w:t xml:space="preserve"> На основании дополнительного соглашения к договору аренды сумма арендной платы уменьшилась с 69425,25 рублей уменьшилась до 1000 рублей.</w:t>
      </w:r>
    </w:p>
    <w:p w:rsidR="0080785F" w:rsidRDefault="0080785F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8.1.2. Анализ исполнения расходной части местного бюджета.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Соблюдение ограничений, установленных статьей 136 БК РФ.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  Решению Собрания депутатов Большесолдатского сельсовета Большесолдатского района от 20.12.2022г. № 120 "О бюджете Большесолдатского сельсовета Большесолдатского Курской области на 2023 год и на плановый период 2024 и 2025 годов"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последними изменениями и дополнениями)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расходы бюджета на 2023 год предусмотрены в размере 14431,164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80785F" w:rsidRDefault="0080785F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отчету об исполнении бюджета (ф. 0503117) исполнение расходов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«Большесолдатский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2023 год сложилось следующим образом:</w:t>
      </w:r>
    </w:p>
    <w:p w:rsidR="0080785F" w:rsidRDefault="0080785F">
      <w:pPr>
        <w:tabs>
          <w:tab w:val="left" w:pos="88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79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5"/>
        <w:gridCol w:w="607"/>
        <w:gridCol w:w="587"/>
        <w:gridCol w:w="1201"/>
        <w:gridCol w:w="1560"/>
        <w:gridCol w:w="1275"/>
      </w:tblGrid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tabs>
                <w:tab w:val="left" w:pos="714"/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- ВСЕГО, в т.ч.: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14431,2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7171,7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7007,2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4565" w:type="dxa"/>
            <w:shd w:val="clear" w:color="auto" w:fill="auto"/>
          </w:tcPr>
          <w:p w:rsidR="0080785F" w:rsidRDefault="0080785F">
            <w:pPr>
              <w:tabs>
                <w:tab w:val="left" w:pos="4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2881,5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2856,4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3431,6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3317,9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6245,1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6159,7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6245,1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6159,7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562,4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81,9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</w:tr>
      <w:tr w:rsidR="0080785F" w:rsidTr="0017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5" w:type="dxa"/>
            <w:shd w:val="clear" w:color="auto" w:fill="auto"/>
          </w:tcPr>
          <w:p w:rsidR="0080785F" w:rsidRDefault="008078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1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560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5" w:type="dxa"/>
            <w:shd w:val="clear" w:color="auto" w:fill="auto"/>
          </w:tcPr>
          <w:p w:rsidR="0080785F" w:rsidRDefault="0080785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</w:tbl>
    <w:p w:rsidR="0080785F" w:rsidRDefault="0080785F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5F" w:rsidRDefault="0080785F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расходов бюджета муниципального образования составило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14022,5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97,2% утвержденных бюджетных ассигнований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(14431,2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распределены по 10-ти разделам функциональной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разрезе разделов исполнение расходов сложилось следующим образом: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разделу 01 00 «Общегосударственные вопросы» - 97,2%;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разделу 03 00 «Национальная безопасность и правоохранительная деятельность» - 98,0%;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разделу 04 00 «Национальная экономика» - 0,0%;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разделу 05 00 «Жилищно-коммунальное хозяйство» - 98,3%;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08 00 «Культура, кинематография» - 81,9%;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разделу 10 00 «Социальная политика» - 88,9%;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расходных обязательств бюджета в 2023 году являлись обязательства по разделам: 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«Общегосударственные вопросы» - 7007,2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50,0% от общего объема исполненных расходов;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- 6159,7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43,9% от общего объема исполненных расходов;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“Социальная политика” -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370,6 тыс. рублей или 2,6% от общего объема исполненных расходов;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 - 460,5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3,3% от общего объема исполненных расходов;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- 24,5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0,2% от общего объема исполненных расходов.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назначения расходной части бюджета в основном:</w:t>
      </w:r>
    </w:p>
    <w:p w:rsidR="0080785F" w:rsidRPr="003A20DF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разделу 08 00 «Культура, кинематография» - 101,9 тыс. рублей 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назначения </w:t>
      </w:r>
      <w:r w:rsidRPr="003A20DF">
        <w:rPr>
          <w:rFonts w:ascii="Times New Roman" w:hAnsi="Times New Roman" w:cs="Times New Roman"/>
          <w:sz w:val="28"/>
          <w:szCs w:val="28"/>
        </w:rPr>
        <w:t>исполнены не в полном объеме в связи с экономией средств по оплате электроэнергии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0785F" w:rsidRPr="0017220A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10 00 «Социальная политика» – 46,4 тыс. рублей (</w:t>
      </w:r>
      <w:r w:rsidR="003629F6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назначения </w:t>
      </w:r>
      <w:r w:rsidR="003629F6" w:rsidRPr="003A20DF">
        <w:rPr>
          <w:rFonts w:ascii="Times New Roman" w:hAnsi="Times New Roman" w:cs="Times New Roman"/>
          <w:sz w:val="28"/>
          <w:szCs w:val="28"/>
        </w:rPr>
        <w:t xml:space="preserve">исполнены не в полном объеме </w:t>
      </w:r>
      <w:r w:rsidR="0017220A" w:rsidRPr="003A20DF"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B96824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тем, что</w:t>
      </w:r>
      <w:r w:rsidR="0017220A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824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справок СФР </w:t>
      </w:r>
      <w:r w:rsidR="0017220A" w:rsidRPr="003A20DF">
        <w:rPr>
          <w:rFonts w:ascii="Times New Roman" w:hAnsi="Times New Roman" w:cs="Times New Roman"/>
          <w:color w:val="000000"/>
          <w:sz w:val="28"/>
          <w:szCs w:val="28"/>
        </w:rPr>
        <w:t>пенси</w:t>
      </w:r>
      <w:r w:rsidR="00B96824" w:rsidRPr="003A20D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220A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по старости</w:t>
      </w:r>
      <w:r w:rsidR="00B96824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увеличилась, а</w:t>
      </w:r>
      <w:r w:rsidR="0017220A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824"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17220A" w:rsidRPr="003A2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оплата</w:t>
      </w:r>
      <w:r w:rsidR="0017220A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 к </w:t>
      </w:r>
      <w:r w:rsidR="0017220A" w:rsidRPr="003A2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пенсии</w:t>
      </w:r>
      <w:r w:rsidR="0017220A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220A" w:rsidRPr="003A2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муниципальным</w:t>
      </w:r>
      <w:r w:rsidR="0017220A" w:rsidRPr="003A20DF">
        <w:rPr>
          <w:rFonts w:ascii="Times New Roman" w:hAnsi="Times New Roman" w:cs="Times New Roman"/>
          <w:sz w:val="28"/>
          <w:szCs w:val="28"/>
          <w:shd w:val="clear" w:color="auto" w:fill="FFFFFF"/>
        </w:rPr>
        <w:t> служащим за выслугу </w:t>
      </w:r>
      <w:r w:rsidR="0017220A" w:rsidRPr="003A2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лет, ранее замещавшим</w:t>
      </w:r>
      <w:r w:rsidR="0017220A" w:rsidRPr="001722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должности муниципальной службы в администрации Большесолдатского сельсовета</w:t>
      </w:r>
      <w:r w:rsidR="00B968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соответственно уменьшилась</w:t>
      </w:r>
      <w:r w:rsidRPr="003A2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5F" w:rsidRPr="003A20DF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 разделу 01 00 «Общегосударственные вопросы» - 164,5 тыс. рублей </w:t>
      </w:r>
      <w:r>
        <w:rPr>
          <w:rFonts w:ascii="Times New Roman" w:hAnsi="Times New Roman" w:cs="Times New Roman"/>
          <w:sz w:val="28"/>
        </w:rPr>
        <w:t xml:space="preserve">(в основном за счет нераспределенных в другие подразделы </w:t>
      </w:r>
      <w:r>
        <w:rPr>
          <w:rFonts w:ascii="Times New Roman" w:hAnsi="Times New Roman" w:cs="Times New Roman"/>
          <w:sz w:val="28"/>
          <w:szCs w:val="28"/>
        </w:rPr>
        <w:t>ассигнований, зарезервированных в составе утвержденных бюджетных ассигнований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0DF">
        <w:rPr>
          <w:rFonts w:ascii="Times New Roman" w:eastAsia="Calibri" w:hAnsi="Times New Roman" w:cs="Times New Roman"/>
          <w:sz w:val="28"/>
          <w:szCs w:val="28"/>
        </w:rPr>
        <w:t xml:space="preserve">«Другие общегосударственные вопросы», а так же по </w:t>
      </w:r>
      <w:r w:rsidRPr="003A20DF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3A20DF">
        <w:rPr>
          <w:rFonts w:ascii="Times New Roman" w:eastAsia="Calibri" w:hAnsi="Times New Roman" w:cs="Times New Roman"/>
          <w:sz w:val="28"/>
          <w:szCs w:val="28"/>
        </w:rPr>
        <w:t xml:space="preserve">01 11 «Резервные фонды» запланировано 25,0 тыс. Рублей кассовое исполнение составило 0,00 тыс. </w:t>
      </w:r>
      <w:r w:rsidR="003629F6" w:rsidRPr="003A20DF">
        <w:rPr>
          <w:rFonts w:ascii="Times New Roman" w:eastAsia="Calibri" w:hAnsi="Times New Roman" w:cs="Times New Roman"/>
          <w:sz w:val="28"/>
          <w:szCs w:val="28"/>
        </w:rPr>
        <w:t>р</w:t>
      </w:r>
      <w:r w:rsidRPr="003A20DF">
        <w:rPr>
          <w:rFonts w:ascii="Times New Roman" w:eastAsia="Calibri" w:hAnsi="Times New Roman" w:cs="Times New Roman"/>
          <w:sz w:val="28"/>
          <w:szCs w:val="28"/>
        </w:rPr>
        <w:t>ублей в связи с отсутствием обращений</w:t>
      </w:r>
      <w:r w:rsidRPr="003A20DF">
        <w:rPr>
          <w:rFonts w:ascii="Times New Roman" w:hAnsi="Times New Roman" w:cs="Times New Roman"/>
          <w:sz w:val="28"/>
        </w:rPr>
        <w:t>)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0785F" w:rsidRPr="003A20DF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 разделу 03 00 «Национальная безопасность и правоохранительная </w:t>
      </w:r>
      <w:r w:rsidR="0017220A"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- 0,5 тыс. рублей (</w:t>
      </w:r>
      <w:r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экономия средств образовалась в связи </w:t>
      </w:r>
      <w:r w:rsidR="003629F6" w:rsidRPr="003A20DF">
        <w:rPr>
          <w:rFonts w:ascii="Times New Roman" w:hAnsi="Times New Roman" w:cs="Times New Roman"/>
          <w:color w:val="000000"/>
          <w:sz w:val="28"/>
          <w:szCs w:val="28"/>
        </w:rPr>
        <w:t>заключением муниципального контракта на более выгодных условиях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0785F" w:rsidRPr="003A20DF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 разделу 05 00 «Жилищно- коммунальное хозяйство” - 85,4 тыс. рублей </w:t>
      </w:r>
      <w:r w:rsidRPr="003A20D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</w:t>
      </w:r>
      <w:r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назначения </w:t>
      </w:r>
      <w:r w:rsidRPr="003A20DF">
        <w:rPr>
          <w:rFonts w:ascii="Times New Roman" w:hAnsi="Times New Roman" w:cs="Times New Roman"/>
          <w:sz w:val="28"/>
          <w:szCs w:val="28"/>
        </w:rPr>
        <w:t xml:space="preserve">исполнены не в полном объеме в связи с экономией средств по оплате </w:t>
      </w:r>
      <w:r w:rsidR="00CC0B1F" w:rsidRPr="003A20DF">
        <w:rPr>
          <w:rFonts w:ascii="Times New Roman" w:hAnsi="Times New Roman" w:cs="Times New Roman"/>
          <w:sz w:val="28"/>
          <w:szCs w:val="28"/>
        </w:rPr>
        <w:t>электро</w:t>
      </w:r>
      <w:r w:rsidRPr="003A20DF">
        <w:rPr>
          <w:rFonts w:ascii="Times New Roman" w:hAnsi="Times New Roman" w:cs="Times New Roman"/>
          <w:sz w:val="28"/>
          <w:szCs w:val="28"/>
        </w:rPr>
        <w:t>энергии</w:t>
      </w:r>
      <w:r w:rsidR="00CC0B1F" w:rsidRPr="003A20DF">
        <w:rPr>
          <w:rFonts w:ascii="Times New Roman" w:hAnsi="Times New Roman" w:cs="Times New Roman"/>
          <w:sz w:val="28"/>
          <w:szCs w:val="28"/>
        </w:rPr>
        <w:t xml:space="preserve"> </w:t>
      </w:r>
      <w:r w:rsidR="000541FE" w:rsidRPr="003A20DF">
        <w:rPr>
          <w:rFonts w:ascii="Times New Roman" w:hAnsi="Times New Roman" w:cs="Times New Roman"/>
          <w:sz w:val="28"/>
          <w:szCs w:val="28"/>
        </w:rPr>
        <w:t>за уличное</w:t>
      </w:r>
      <w:r w:rsidR="00CC0B1F" w:rsidRPr="003A20DF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0541FE" w:rsidRPr="003A20DF">
        <w:rPr>
          <w:rFonts w:ascii="Times New Roman" w:hAnsi="Times New Roman" w:cs="Times New Roman"/>
          <w:sz w:val="28"/>
          <w:szCs w:val="28"/>
        </w:rPr>
        <w:t xml:space="preserve">е. Запланированы также денежные средства  на покупку ламп для замены перегоревших ламп уличного освещения. Ламп было закуплено меньше, чем планировалось. В связи с этим денежных средств на оплату работ по замене ламп </w:t>
      </w:r>
      <w:r w:rsidR="003629F6" w:rsidRPr="003A20DF">
        <w:rPr>
          <w:rFonts w:ascii="Times New Roman" w:hAnsi="Times New Roman" w:cs="Times New Roman"/>
          <w:sz w:val="28"/>
          <w:szCs w:val="28"/>
        </w:rPr>
        <w:t>уличного освещения затрачено меньше запланированного. Денежных средств на оплату работ по переводу таймеров (настройке реле времени) также затрачено меньше, чем запланировано ввиду того, что заявок на заключение договоров подано меньше.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0785F" w:rsidRPr="00563831" w:rsidRDefault="008078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 разделу 04 00 «</w:t>
      </w:r>
      <w:r w:rsidRPr="003A20D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3A20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” - 10,0 тыс. рублей </w:t>
      </w:r>
      <w:r w:rsidRPr="003A20D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</w:t>
      </w:r>
      <w:r w:rsidRPr="003A20D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назначения запланированы, но  не  </w:t>
      </w:r>
      <w:r w:rsidRPr="003A20DF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541FE" w:rsidRPr="003A20DF">
        <w:rPr>
          <w:rFonts w:ascii="Times New Roman" w:hAnsi="Times New Roman" w:cs="Times New Roman"/>
          <w:sz w:val="28"/>
          <w:szCs w:val="28"/>
        </w:rPr>
        <w:t>в полном</w:t>
      </w:r>
      <w:r w:rsidRPr="003A20DF">
        <w:rPr>
          <w:rFonts w:ascii="Times New Roman" w:hAnsi="Times New Roman" w:cs="Times New Roman"/>
          <w:sz w:val="28"/>
          <w:szCs w:val="28"/>
        </w:rPr>
        <w:t xml:space="preserve"> объеме в связи с </w:t>
      </w:r>
      <w:r w:rsidR="00CC0B1F" w:rsidRPr="003A20DF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0541FE" w:rsidRPr="003A20DF">
        <w:rPr>
          <w:rFonts w:ascii="Times New Roman" w:hAnsi="Times New Roman" w:cs="Times New Roman"/>
          <w:sz w:val="28"/>
          <w:szCs w:val="28"/>
        </w:rPr>
        <w:t>обращений</w:t>
      </w:r>
      <w:r w:rsidR="00CC0B1F" w:rsidRPr="003A20DF">
        <w:rPr>
          <w:rFonts w:ascii="Times New Roman" w:hAnsi="Times New Roman" w:cs="Times New Roman"/>
          <w:sz w:val="28"/>
          <w:szCs w:val="28"/>
        </w:rPr>
        <w:t xml:space="preserve"> </w:t>
      </w:r>
      <w:r w:rsidR="00563831" w:rsidRPr="003A20DF">
        <w:rPr>
          <w:rFonts w:ascii="Times New Roman" w:hAnsi="Times New Roman" w:cs="Times New Roman"/>
          <w:sz w:val="28"/>
          <w:szCs w:val="28"/>
        </w:rPr>
        <w:t xml:space="preserve">от </w:t>
      </w:r>
      <w:r w:rsidR="00CC0B1F" w:rsidRPr="003A20DF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CC0B1F" w:rsidRPr="00563831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5638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0785F" w:rsidRDefault="008078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27.12.2022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доведен норматив формирования расходов на содержание органов местного самоуправления в сумме 4103,9 тыс. рублей</w:t>
      </w:r>
      <w:r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Курской области от 21.09.2023 № 1011-пп «О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области» норматив повышен с 01.01.2023 в 1,04 раза и составил 4268,1 тыс. рублей.</w:t>
      </w:r>
    </w:p>
    <w:p w:rsidR="0080785F" w:rsidRPr="003A20DF" w:rsidRDefault="0080785F">
      <w:pPr>
        <w:spacing w:after="0" w:line="240" w:lineRule="auto"/>
        <w:ind w:firstLine="709"/>
        <w:jc w:val="both"/>
        <w:rPr>
          <w:sz w:val="28"/>
          <w:szCs w:val="28"/>
        </w:rPr>
      </w:pPr>
      <w:r w:rsidRPr="003A20DF">
        <w:rPr>
          <w:rFonts w:ascii="Times New Roman" w:eastAsia="Times New Roman" w:hAnsi="Times New Roman" w:cs="Times New Roman"/>
          <w:sz w:val="28"/>
          <w:szCs w:val="28"/>
        </w:rPr>
        <w:t>Согласно отчету об исполнении бюджета муниципального образования «Большесолдатский сельсовет» Курской области за 2023 год, кассовые расходы на содержание органов местного самоуправления  запланированы в сумме 3711,1 тыс. рублей,  исполнение составило 3689,2 тыс. рублей,</w:t>
      </w:r>
      <w:r w:rsidRPr="003A20DF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>832,9 тыс. рублей (подраздел 0102 - “Расходы на выплаты персоналу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органов” (оплата труда с начислениями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63,4 тыс. рублей (подраздел 0104 - “закупка, товаров работ и услуг для обеспечения государственных (муниципальных) нужд”;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2776,5 тыс. рублей (по подразделу 0104 – “Расходы на выплаты персоналу государственных (муниципальных) органов”;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16,4 тыс. рублей иные расходы.</w:t>
      </w:r>
    </w:p>
    <w:p w:rsidR="0080785F" w:rsidRDefault="0080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Превышения норматива нет.</w:t>
      </w:r>
    </w:p>
    <w:p w:rsidR="0080785F" w:rsidRDefault="0080785F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8.1.3. Анализ источников финансирования дефицита бюджета. Соблюдение ограничений, установленных ст. 92.1 Бюджетного кодекса РФ.</w:t>
      </w:r>
    </w:p>
    <w:p w:rsidR="0080785F" w:rsidRPr="003A20DF" w:rsidRDefault="0080785F" w:rsidP="003A20D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«Большесолдатский сельсовет» Курской области за 2023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 412,2 тыс. рублей (доходы исполнены в сумме 13610,3 тыс. рублей, расходы исполнены в сумме – 14022,5 тыс. рублей</w:t>
      </w:r>
      <w:r w:rsidRPr="003A20DF">
        <w:rPr>
          <w:rFonts w:ascii="Times New Roman" w:hAnsi="Times New Roman" w:cs="Times New Roman"/>
          <w:sz w:val="28"/>
          <w:szCs w:val="28"/>
        </w:rPr>
        <w:t xml:space="preserve">) или </w:t>
      </w:r>
      <w:r w:rsidR="00B64020" w:rsidRPr="003A20DF">
        <w:rPr>
          <w:rFonts w:ascii="Times New Roman" w:hAnsi="Times New Roman" w:cs="Times New Roman"/>
          <w:sz w:val="28"/>
          <w:szCs w:val="28"/>
        </w:rPr>
        <w:t>70</w:t>
      </w:r>
      <w:r w:rsidRPr="003A20DF">
        <w:rPr>
          <w:rFonts w:ascii="Times New Roman" w:hAnsi="Times New Roman" w:cs="Times New Roman"/>
          <w:sz w:val="28"/>
          <w:szCs w:val="28"/>
        </w:rPr>
        <w:t>,0 % объема доходов муниципального бюджета 2023 года без утвержденного объема безвозмездных поступлений и (или) поступлений налоговых доходов по дополнительным нормативам отчислений – 87 002,4 тыс. рублей (871 798,8 –222 178,9 – 135 176,4), что превышает ограничение, установленное статьей 92.1 Бюджетного кодекса РФ (10 %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 Размер поступлений налоговых доходов по дополнительным нормативам отчислений за 2023 год составил 135 176,4 тыс. рублей.</w:t>
      </w:r>
    </w:p>
    <w:p w:rsidR="0080785F" w:rsidRPr="003A20DF" w:rsidRDefault="0080785F" w:rsidP="003A20D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>Согласно пункту 3 статьи 92.1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указанным пунктом, в пределах суммы указанных поступлений и снижения остатков средств на счетах по учету средств местного бюджета.</w:t>
      </w:r>
    </w:p>
    <w:p w:rsidR="0080785F" w:rsidRPr="003A20DF" w:rsidRDefault="00807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бюджета предусмотрены</w:t>
      </w:r>
    </w:p>
    <w:p w:rsidR="0080785F" w:rsidRPr="003A20DF" w:rsidRDefault="00807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 xml:space="preserve">остатки средств на счете бюджет муниципального района в сумме 146 081,7 тыс. рублей, из них: налоговые и неналоговые доходы - 142 061,5 тыс. рублей, </w:t>
      </w:r>
      <w:r w:rsidRPr="003A20DF">
        <w:rPr>
          <w:rFonts w:ascii="Times New Roman" w:hAnsi="Times New Roman" w:cs="Times New Roman"/>
          <w:sz w:val="28"/>
          <w:szCs w:val="28"/>
        </w:rPr>
        <w:lastRenderedPageBreak/>
        <w:t>возврат остатков субсидий, субвенций и иных межбюджетных трансфертов, имеющих целевое назначение, прошлых лет – 4 020,2 тыс. рублей.</w:t>
      </w:r>
    </w:p>
    <w:p w:rsidR="0080785F" w:rsidRDefault="00807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>Фактически в 2023 году источниками финансирования дефицита бюджета явилось уменьшение остатков на счете бюджета муниципального района на 55 289,3 тыс. рублей, а также предоставление бюджетных кредитов в размере (-) 1 390,5 тыс. рублей, в связи с чем требования статьи 92.1 Бюджетного кодекса РФ по итогам 2023 года выполнены.</w:t>
      </w:r>
    </w:p>
    <w:p w:rsidR="0080785F" w:rsidRDefault="0080785F">
      <w:pPr>
        <w:pStyle w:val="afb"/>
        <w:spacing w:line="240" w:lineRule="auto"/>
        <w:ind w:firstLine="567"/>
        <w:rPr>
          <w:b/>
        </w:rPr>
      </w:pPr>
      <w:r>
        <w:rPr>
          <w:b/>
        </w:rPr>
        <w:t>8.1.4.</w:t>
      </w:r>
      <w:r>
        <w:t xml:space="preserve"> </w:t>
      </w:r>
      <w:r>
        <w:rPr>
          <w:b/>
        </w:rPr>
        <w:t>Анализ муниципального долга. Соблюдение ограничений, установленных ст.107 Бюджетного кодекса РФ в части предельного объема муниципального долга.</w:t>
      </w:r>
    </w:p>
    <w:p w:rsidR="0080785F" w:rsidRDefault="0080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Муниципальный долг по данным бюджетной отчетности на 01.01.2023 и 01.01.2024 отсутствует.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баланса (дебиторской и кредиторской задолженности).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Данные баланса по разделу I «Нефинансовые активы»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начало 2023 года составили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43985,3 тыс. рублей, в том числе: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«Основные средства» (остаточная стоимость) –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2187,1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«Непроизведенные активы» (остаточная стоимость) – 9414,9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«Материальные запасы» (остаточная стоимость) – 1051,3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Права пользования активами»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(остаточная стоимость) – 56,9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«Вложения в нефинансовые активы» - 0,0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«Нефинансовые активы имущества казны» </w:t>
      </w:r>
      <w:r>
        <w:rPr>
          <w:rFonts w:ascii="Times New Roman" w:eastAsia="Calibri" w:hAnsi="Times New Roman" w:cs="Times New Roman"/>
          <w:sz w:val="28"/>
          <w:szCs w:val="28"/>
        </w:rPr>
        <w:t>(остаточная стоимость)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–31269,2 тыс. рублей,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«Расходы будущих периодов» - </w:t>
      </w:r>
      <w:r w:rsidRPr="00584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тыс. рублей.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конец 2023 года данные баланса по разделу I «Нефинансовые активы» составили 42373,4 тыс. рублей: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«Основные средства» (остаточная стоимость) – 1889,5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«Непроизведенные активы» (остаточная стоимость) – 9251,6тыс.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«Материальные запасы» (остаточная стоимость) – 1047,8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Права пользования активами» (остаточная стоимость) – 56,9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«Вложения в нефинансовые активы» - 0,0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«Нефинансовые активы имущества казны»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(остаточная стоимость)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 30121,7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«Расходы будущих периодов» - 0,0 тыс. рублей.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Данные баланса по разделу II «Финансовые активы»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начало 2023 года составили 10045,9 тыс. рублей, в том числе: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Финансовые вложения» – 0,0 тыс. рублей,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«Дебиторская задолженность по доходам» - 9910,7тыс.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«Дебиторская задолженность по выплатам» - 135,1 тыс. рублей.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конец 2023 года данные баланса по разделу II «Финансовые активы» составили 9467,6 тыс. рублей: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Финансовые вложения» – 0,0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«Дебиторская задолженность по доходам» -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9467,6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«Дебиторская задолженность по выплатам» - 0,0 тыс. рублей.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Данные баланса по разделу III «Обязательства»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начало 2023 года составляли 12472,2 тыс. рублей: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«Расчеты по платежам в бюджеты» - 0,0 тыс. рублей;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«Кредиторская задолженность по доходам» - 3093,7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«Доходы будущих периодов» - 9378,6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«Резервы предстоящих расходов» - 0,0 тыс. рублей.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конец 2023 года данные баланса по разделу III «Обязательства» составили 9424,9 тыс. рублей: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«Расчеты по платежам в бюджеты» 0,0тыс. рублей;</w:t>
      </w:r>
      <w:r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  <w:lang w:eastAsia="ru-RU"/>
        </w:rPr>
        <w:t xml:space="preserve">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«Кредиторская задолженность по доходам» - 532,0 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«Доходы будущих периодов» - 8892,9тыс. рублей;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«Резервы предстоящих расходов» - 0,0 тыс. рублей.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0"/>
          <w:szCs w:val="10"/>
          <w:lang w:eastAsia="ru-RU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состоянию на 01.01.2023 дебиторская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доходам в сумме 546,2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 (по счету 20500 </w:t>
      </w:r>
      <w:r>
        <w:rPr>
          <w:rFonts w:ascii="Times New Roman" w:eastAsia="Calibri" w:hAnsi="Times New Roman" w:cs="Times New Roman"/>
          <w:sz w:val="28"/>
        </w:rPr>
        <w:t>«Расчеты по доходам» - 546,2 тыс. рублей)</w:t>
      </w:r>
      <w:r>
        <w:rPr>
          <w:rFonts w:ascii="Times New Roman" w:eastAsia="Calibri" w:hAnsi="Times New Roman" w:cs="Times New Roman"/>
          <w:sz w:val="28"/>
          <w:szCs w:val="28"/>
        </w:rPr>
        <w:t>, из нее просроченная 532,1 тыс. рублей, в том числе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счетам: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- 20511 000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«Расчеты с плательщиками налогов» в сумме 546,2 тыс. рублей задолженность по налогам физических лиц, в  соответствии с данными налоговой службы;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0"/>
          <w:szCs w:val="10"/>
          <w:lang w:eastAsia="ru-RU"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состоянию на 01.01.2024 сложилась дебиторская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доходам в сумме 685,0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 (по счету 20500 </w:t>
      </w:r>
      <w:r>
        <w:rPr>
          <w:rFonts w:ascii="Times New Roman" w:eastAsia="Calibri" w:hAnsi="Times New Roman" w:cs="Times New Roman"/>
          <w:sz w:val="28"/>
        </w:rPr>
        <w:t>«Расчеты по доходам» - 685,0 тыс. рублей)</w:t>
      </w:r>
      <w:r>
        <w:rPr>
          <w:rFonts w:ascii="Times New Roman" w:eastAsia="Calibri" w:hAnsi="Times New Roman" w:cs="Times New Roman"/>
          <w:sz w:val="28"/>
          <w:szCs w:val="28"/>
        </w:rPr>
        <w:t>, из нее просроченная 574,6 тыс. рублей, в том числе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счетам: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- 20511 000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«Расчеты с плательщиками налогов» в сумме 685,0 тыс. рублей задолженность по налогам физических лиц, в  соответствии с данными налоговой службы;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Кредиторская задолженность по доходам на 01.01.2023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3060,0 тыс. рублей </w:t>
      </w:r>
      <w:r>
        <w:rPr>
          <w:rFonts w:ascii="Times New Roman" w:eastAsia="Calibri" w:hAnsi="Times New Roman" w:cs="Times New Roman"/>
          <w:sz w:val="28"/>
        </w:rPr>
        <w:t xml:space="preserve">(по счету 20500 «Расчеты по доходам» - </w:t>
      </w:r>
      <w:r>
        <w:rPr>
          <w:rFonts w:ascii="Times New Roman" w:eastAsia="Calibri" w:hAnsi="Times New Roman" w:cs="Times New Roman"/>
          <w:sz w:val="28"/>
          <w:szCs w:val="28"/>
        </w:rPr>
        <w:t>3060,0</w:t>
      </w:r>
      <w:r>
        <w:rPr>
          <w:rFonts w:ascii="Times New Roman" w:eastAsia="Calibri" w:hAnsi="Times New Roman" w:cs="Times New Roman"/>
          <w:sz w:val="28"/>
        </w:rPr>
        <w:t>тыс. рублей)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по счетам: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- 20511 000 «Расчеты с плательщиками налогов» - 3060,0 тыс. рублей задолженность по налогам физических лиц, в  соответствии с данными налоговой службы;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возврату остатков целевых средств в областной бюджет на 01.01.2022 составила – </w:t>
      </w:r>
      <w:r w:rsidRPr="00584F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Кредиторская задолженность по доходам на 01.01.2024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532,0 тыс. рублей </w:t>
      </w:r>
      <w:r>
        <w:rPr>
          <w:rFonts w:ascii="Times New Roman" w:eastAsia="Calibri" w:hAnsi="Times New Roman" w:cs="Times New Roman"/>
          <w:sz w:val="28"/>
        </w:rPr>
        <w:t>(по счету 20511 «Расчеты по доходам» - 532,0 тыс. рубль)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по счетам: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- 20511 000 «Расчеты с плательщиками налогов» - 532,0 тыс. рублей задолженность по налогам физических лиц, в  соответствии с данными налоговой службы;</w:t>
      </w:r>
    </w:p>
    <w:p w:rsidR="0080785F" w:rsidRDefault="0080785F">
      <w:pPr>
        <w:spacing w:after="0" w:line="240" w:lineRule="auto"/>
        <w:ind w:firstLine="709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возврату остатков целевых средств в областной бюджет на 01.01.2024 составила –0,0 тыс. рублей. </w:t>
      </w:r>
    </w:p>
    <w:p w:rsidR="0080785F" w:rsidRDefault="0080785F">
      <w:pPr>
        <w:spacing w:after="0" w:line="240" w:lineRule="auto"/>
        <w:ind w:firstLine="709"/>
        <w:rPr>
          <w:b/>
        </w:rPr>
      </w:pPr>
    </w:p>
    <w:p w:rsidR="0080785F" w:rsidRDefault="0080785F">
      <w:pPr>
        <w:pStyle w:val="afb"/>
        <w:spacing w:line="240" w:lineRule="auto"/>
        <w:jc w:val="center"/>
        <w:rPr>
          <w:b/>
        </w:rPr>
      </w:pPr>
      <w:r>
        <w:rPr>
          <w:b/>
        </w:rPr>
        <w:t>8.1.6. Анализ использования бюджетных средств, выделенных на реализацию федеральных проектов (региональных проектов), достижения установленных целей и показателей.</w:t>
      </w:r>
    </w:p>
    <w:p w:rsidR="0080785F" w:rsidRDefault="0080785F">
      <w:pPr>
        <w:pStyle w:val="afb"/>
        <w:spacing w:line="240" w:lineRule="auto"/>
        <w:jc w:val="center"/>
        <w:rPr>
          <w:b/>
        </w:rPr>
      </w:pP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отчета об исполнении бюджета муниципального образования «Большесолдатский сельсовет» Курской области за 2023 год бюджетные средства  на реализацию федеральных проектов (региональных проектов) не выделялись.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Выводы: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муниципального образования «Большесолдатский сельсовет» Курской области за 2023год  представлен в соответствии с требованиями статьи 264.1 БК РФ.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«Большесолдатский сельсовет» Курской области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в 2023 году исполнена в объеме 13610,3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тыс. рублей или 1101,5%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бюджетных назначений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(13414,9 тыс. рублей). </w:t>
      </w:r>
    </w:p>
    <w:p w:rsidR="0080785F" w:rsidRDefault="008078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Кассовое исполнение расходов бюджета муниципального образования составило 14022,5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97,2</w:t>
      </w:r>
      <w:r>
        <w:rPr>
          <w:rFonts w:ascii="Times New Roman" w:hAnsi="Times New Roman" w:cs="Times New Roman"/>
          <w:sz w:val="28"/>
          <w:szCs w:val="28"/>
          <w:lang w:eastAsia="ru-RU"/>
        </w:rPr>
        <w:t> % от бюджетной росписи (14431,2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Доведенный комитетом финансов Курской области на 2023 год норматив формирования расходов на содержание органов местного самоуправления не превышен. 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по данным бюджетной отчетности муниципального образования на начало и конец года отсутствует.</w:t>
      </w:r>
    </w:p>
    <w:p w:rsidR="0080785F" w:rsidRDefault="0080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Дефицит муниципального бюджета составил 412,2 тыс. рублей (доходы исполнены в сумме 13610,3 тыс. рублей, расходы исполнены в сумме – 14022,5 тыс. рублей).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статьи 92.1 Бюджетного кодекса Российской Федерации по итогам 2023 года выполнены.</w:t>
      </w:r>
    </w:p>
    <w:p w:rsidR="0080785F" w:rsidRDefault="0080785F">
      <w:pPr>
        <w:tabs>
          <w:tab w:val="left" w:pos="7655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9.7.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01.01.2023г. сложилась дебиторская задолженность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546,2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Кредиторская задолженность по доходам на 01.01.2023г.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3060,0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По состоянию на 01.01.2024г. сложилась дебиторская задолженность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685,0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Кредиторская задолженность по доходам на 01.01.2024г.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532,0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0785F" w:rsidRDefault="0080785F">
      <w:pPr>
        <w:tabs>
          <w:tab w:val="left" w:pos="7655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85F" w:rsidRDefault="008078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контрольного мероприятия:</w:t>
      </w:r>
    </w:p>
    <w:p w:rsidR="0080785F" w:rsidRDefault="008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85F" w:rsidRDefault="008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Ревизионной комиссии </w:t>
      </w:r>
    </w:p>
    <w:p w:rsidR="0080785F" w:rsidRDefault="0080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Большесолдатского района Курской области     _____________   Гридина О. Н.</w:t>
      </w:r>
    </w:p>
    <w:p w:rsidR="0080785F" w:rsidRDefault="00807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85F" w:rsidRDefault="00807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актом ознакомлен (ы):</w:t>
      </w:r>
    </w:p>
    <w:p w:rsidR="0080785F" w:rsidRDefault="00807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85F" w:rsidRDefault="0080785F">
      <w:pPr>
        <w:spacing w:after="0" w:line="240" w:lineRule="auto"/>
        <w:ind w:left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Большесолдатского сельсовета </w:t>
      </w:r>
    </w:p>
    <w:p w:rsidR="0080785F" w:rsidRDefault="0080785F">
      <w:pPr>
        <w:spacing w:after="0" w:line="240" w:lineRule="auto"/>
        <w:ind w:left="13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</w:t>
      </w:r>
      <w:r>
        <w:rPr>
          <w:rFonts w:ascii="Times New Roman" w:hAnsi="Times New Roman" w:cs="Times New Roman"/>
          <w:sz w:val="28"/>
          <w:szCs w:val="28"/>
        </w:rPr>
        <w:t>_________В. Р. Зельднер</w:t>
      </w:r>
    </w:p>
    <w:p w:rsidR="0080785F" w:rsidRPr="003A20DF" w:rsidRDefault="0080785F">
      <w:pPr>
        <w:rPr>
          <w:sz w:val="16"/>
          <w:szCs w:val="16"/>
        </w:rPr>
      </w:pPr>
    </w:p>
    <w:p w:rsidR="0080785F" w:rsidRPr="003A20DF" w:rsidRDefault="00807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0D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3A20DF">
        <w:rPr>
          <w:rFonts w:ascii="Times New Roman" w:hAnsi="Times New Roman" w:cs="Times New Roman"/>
          <w:sz w:val="28"/>
          <w:szCs w:val="28"/>
        </w:rPr>
        <w:t xml:space="preserve"> </w:t>
      </w:r>
      <w:r w:rsidRPr="003A20DF">
        <w:rPr>
          <w:rFonts w:ascii="Times New Roman" w:hAnsi="Times New Roman" w:cs="Times New Roman"/>
          <w:sz w:val="28"/>
          <w:szCs w:val="28"/>
        </w:rPr>
        <w:t>- главный бухгалтер</w:t>
      </w:r>
    </w:p>
    <w:p w:rsidR="0080785F" w:rsidRDefault="0080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сельсовета</w:t>
      </w:r>
    </w:p>
    <w:p w:rsidR="0080785F" w:rsidRDefault="0080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80785F" w:rsidRDefault="0080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_____________________  О. В. Шевякина</w:t>
      </w:r>
    </w:p>
    <w:p w:rsidR="0080785F" w:rsidRDefault="0080785F">
      <w:pPr>
        <w:tabs>
          <w:tab w:val="left" w:pos="199"/>
        </w:tabs>
        <w:rPr>
          <w:rFonts w:hint="default"/>
        </w:rPr>
      </w:pPr>
    </w:p>
    <w:sectPr w:rsidR="0080785F" w:rsidSect="003A20DF">
      <w:headerReference w:type="default" r:id="rId6"/>
      <w:pgSz w:w="11906" w:h="16838"/>
      <w:pgMar w:top="426" w:right="707" w:bottom="773" w:left="1276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2A3" w:rsidRDefault="00E452A3">
      <w:pPr>
        <w:rPr>
          <w:rFonts w:hint="default"/>
        </w:rPr>
      </w:pPr>
      <w:r>
        <w:rPr>
          <w:rFonts w:hint="default"/>
        </w:rPr>
        <w:separator/>
      </w:r>
    </w:p>
  </w:endnote>
  <w:endnote w:type="continuationSeparator" w:id="1">
    <w:p w:rsidR="00E452A3" w:rsidRDefault="00E452A3">
      <w:pPr>
        <w:rPr>
          <w:rFonts w:hint="default"/>
        </w:rPr>
      </w:pPr>
      <w:r>
        <w:rPr>
          <w:rFonts w:hint="defaul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2A3" w:rsidRDefault="00E452A3">
      <w:pPr>
        <w:rPr>
          <w:rFonts w:hint="default"/>
        </w:rPr>
      </w:pPr>
      <w:r>
        <w:rPr>
          <w:rFonts w:hint="default"/>
        </w:rPr>
        <w:separator/>
      </w:r>
    </w:p>
  </w:footnote>
  <w:footnote w:type="continuationSeparator" w:id="1">
    <w:p w:rsidR="00E452A3" w:rsidRDefault="00E452A3">
      <w:pPr>
        <w:rPr>
          <w:rFonts w:hint="default"/>
        </w:rPr>
      </w:pPr>
      <w:r>
        <w:rPr>
          <w:rFonts w:hint="default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F" w:rsidRDefault="0080785F">
    <w:pPr>
      <w:pStyle w:val="ad"/>
      <w:jc w:val="center"/>
    </w:pPr>
    <w:fldSimple w:instr="PAGE   \* MERGEFORMAT">
      <w:r w:rsidR="003A20DF" w:rsidRPr="003A20DF">
        <w:rPr>
          <w:noProof/>
          <w:lang w:val="ru-RU" w:eastAsia="ru-RU"/>
        </w:rPr>
        <w:t>9</w:t>
      </w:r>
    </w:fldSimple>
  </w:p>
  <w:p w:rsidR="0080785F" w:rsidRDefault="0080785F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27867"/>
    <w:rsid w:val="000208C9"/>
    <w:rsid w:val="00030679"/>
    <w:rsid w:val="000541FE"/>
    <w:rsid w:val="0017220A"/>
    <w:rsid w:val="003629F6"/>
    <w:rsid w:val="003A20DF"/>
    <w:rsid w:val="00563831"/>
    <w:rsid w:val="00584F01"/>
    <w:rsid w:val="006D5FAF"/>
    <w:rsid w:val="0076368D"/>
    <w:rsid w:val="007937C7"/>
    <w:rsid w:val="00800D88"/>
    <w:rsid w:val="0080785F"/>
    <w:rsid w:val="00827867"/>
    <w:rsid w:val="00866761"/>
    <w:rsid w:val="008A6F22"/>
    <w:rsid w:val="0091757A"/>
    <w:rsid w:val="00962A3B"/>
    <w:rsid w:val="00990743"/>
    <w:rsid w:val="00B45CCD"/>
    <w:rsid w:val="00B64020"/>
    <w:rsid w:val="00B96824"/>
    <w:rsid w:val="00CC0B1F"/>
    <w:rsid w:val="00E323C1"/>
    <w:rsid w:val="00E452A3"/>
    <w:rsid w:val="00E834C8"/>
    <w:rsid w:val="00FA3584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2F5395"/>
      <w:sz w:val="28"/>
      <w:szCs w:val="28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4472C4"/>
      <w:sz w:val="26"/>
      <w:szCs w:val="26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472C4"/>
      <w:sz w:val="20"/>
      <w:szCs w:val="20"/>
      <w:lang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bCs/>
      <w:i/>
      <w:iCs/>
      <w:color w:val="4472C4"/>
      <w:sz w:val="20"/>
      <w:szCs w:val="20"/>
      <w:lang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3763"/>
      <w:sz w:val="20"/>
      <w:szCs w:val="20"/>
      <w:lang/>
    </w:rPr>
  </w:style>
  <w:style w:type="paragraph" w:styleId="6">
    <w:name w:val="heading 6"/>
    <w:basedOn w:val="a"/>
    <w:next w:val="a"/>
    <w:link w:val="61"/>
    <w:uiPriority w:val="9"/>
    <w:qFormat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i/>
      <w:iCs/>
      <w:color w:val="1F3763"/>
      <w:sz w:val="20"/>
      <w:szCs w:val="20"/>
      <w:lang/>
    </w:rPr>
  </w:style>
  <w:style w:type="paragraph" w:styleId="7">
    <w:name w:val="heading 7"/>
    <w:basedOn w:val="a"/>
    <w:next w:val="a"/>
    <w:link w:val="71"/>
    <w:uiPriority w:val="9"/>
    <w:qFormat/>
    <w:pPr>
      <w:keepNext/>
      <w:keepLines/>
      <w:spacing w:before="200" w:after="0"/>
      <w:outlineLvl w:val="6"/>
    </w:pPr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1"/>
    <w:uiPriority w:val="9"/>
    <w:qFormat/>
    <w:pPr>
      <w:keepNext/>
      <w:keepLines/>
      <w:spacing w:before="200" w:after="0"/>
      <w:outlineLvl w:val="7"/>
    </w:pPr>
    <w:rPr>
      <w:rFonts w:ascii="Times New Roman" w:eastAsia="Times New Roman" w:hAnsi="Times New Roman" w:cs="Times New Roman"/>
      <w:color w:val="404040"/>
      <w:sz w:val="20"/>
      <w:szCs w:val="20"/>
      <w:lang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200" w:after="0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99"/>
    <w:rPr>
      <w:rFonts w:hint="default"/>
    </w:rPr>
  </w:style>
  <w:style w:type="table" w:default="1" w:styleId="a1">
    <w:name w:val="Normal Table"/>
    <w:next w:val="a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rPr>
      <w:rFonts w:cs="Times New Roman" w:hint="default"/>
      <w:b/>
      <w:bCs/>
      <w:color w:val="4472C4"/>
    </w:rPr>
  </w:style>
  <w:style w:type="character" w:customStyle="1" w:styleId="41">
    <w:name w:val="Заголовок 4 Знак1"/>
    <w:basedOn w:val="a0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51">
    <w:name w:val="Заголовок 5 Знак1"/>
    <w:basedOn w:val="a0"/>
    <w:link w:val="5"/>
    <w:uiPriority w:val="9"/>
    <w:rPr>
      <w:rFonts w:cs="Times New Roman" w:hint="default"/>
      <w:color w:val="1F3763"/>
    </w:rPr>
  </w:style>
  <w:style w:type="character" w:customStyle="1" w:styleId="61">
    <w:name w:val="Заголовок 6 Знак1"/>
    <w:basedOn w:val="a0"/>
    <w:link w:val="6"/>
    <w:uiPriority w:val="9"/>
    <w:rPr>
      <w:rFonts w:cs="Times New Roman" w:hint="default"/>
      <w:i/>
      <w:iCs/>
      <w:color w:val="1F3763"/>
    </w:rPr>
  </w:style>
  <w:style w:type="character" w:customStyle="1" w:styleId="71">
    <w:name w:val="Заголовок 7 Знак1"/>
    <w:basedOn w:val="a0"/>
    <w:link w:val="7"/>
    <w:uiPriority w:val="9"/>
    <w:rPr>
      <w:rFonts w:cs="Times New Roman" w:hint="default"/>
      <w:i/>
      <w:iCs/>
      <w:color w:val="404040"/>
    </w:rPr>
  </w:style>
  <w:style w:type="character" w:customStyle="1" w:styleId="81">
    <w:name w:val="Заголовок 8 Знак1"/>
    <w:basedOn w:val="a0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91">
    <w:name w:val="Заголовок 9 Знак1"/>
    <w:basedOn w:val="a0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character" w:styleId="a3">
    <w:name w:val="footnote reference"/>
    <w:uiPriority w:val="99"/>
    <w:unhideWhenUsed/>
    <w:rPr>
      <w:rFonts w:hint="default"/>
      <w:vertAlign w:val="superscript"/>
    </w:rPr>
  </w:style>
  <w:style w:type="character" w:styleId="a4">
    <w:name w:val="endnote reference"/>
    <w:uiPriority w:val="99"/>
    <w:unhideWhenUsed/>
    <w:rPr>
      <w:rFonts w:hint="default"/>
      <w:vertAlign w:val="superscript"/>
    </w:rPr>
  </w:style>
  <w:style w:type="character" w:styleId="a5">
    <w:name w:val="Emphasis"/>
    <w:uiPriority w:val="20"/>
    <w:qFormat/>
    <w:rPr>
      <w:rFonts w:hint="default"/>
      <w:i/>
      <w:iCs/>
    </w:rPr>
  </w:style>
  <w:style w:type="character" w:styleId="a6">
    <w:name w:val="Hyperlink"/>
    <w:uiPriority w:val="99"/>
    <w:unhideWhenUsed/>
    <w:rPr>
      <w:rFonts w:hint="default"/>
      <w:color w:val="0563C1"/>
      <w:u w:val="single"/>
    </w:rPr>
  </w:style>
  <w:style w:type="character" w:styleId="a7">
    <w:name w:val="Strong"/>
    <w:uiPriority w:val="22"/>
    <w:qFormat/>
    <w:rPr>
      <w:rFonts w:hint="default"/>
      <w:b/>
      <w:bCs/>
    </w:rPr>
  </w:style>
  <w:style w:type="paragraph" w:styleId="a8">
    <w:name w:val="Balloon Text"/>
    <w:link w:val="10"/>
    <w:uiPriority w:val="99"/>
    <w:pPr>
      <w:spacing w:line="100" w:lineRule="atLeast"/>
    </w:pPr>
    <w:rPr>
      <w:rFonts w:ascii="Segoe UI" w:eastAsia="SimSun" w:hAnsi="Segoe UI"/>
      <w:sz w:val="18"/>
      <w:szCs w:val="18"/>
      <w:lang w:eastAsia="en-US"/>
    </w:rPr>
  </w:style>
  <w:style w:type="character" w:customStyle="1" w:styleId="10">
    <w:name w:val="Текст выноски Знак1"/>
    <w:link w:val="a8"/>
    <w:uiPriority w:val="99"/>
    <w:rPr>
      <w:rFonts w:ascii="Segoe UI" w:eastAsia="SimSun" w:hAnsi="Segoe UI"/>
      <w:sz w:val="18"/>
      <w:szCs w:val="18"/>
      <w:lang w:eastAsia="en-US" w:bidi="ar-SA"/>
    </w:rPr>
  </w:style>
  <w:style w:type="paragraph" w:styleId="20">
    <w:name w:val="Body Text 2"/>
    <w:uiPriority w:val="99"/>
    <w:pPr>
      <w:spacing w:after="120" w:line="480" w:lineRule="auto"/>
    </w:pPr>
  </w:style>
  <w:style w:type="paragraph" w:styleId="a9">
    <w:name w:val="Plain Text"/>
    <w:basedOn w:val="a"/>
    <w:link w:val="12"/>
    <w:uiPriority w:val="99"/>
    <w:unhideWhenUsed/>
    <w:pPr>
      <w:spacing w:after="0" w:line="240" w:lineRule="auto"/>
    </w:pPr>
    <w:rPr>
      <w:rFonts w:ascii="Courier New" w:eastAsia="Times New Roman" w:hAnsi="Courier New" w:cs="Times New Roman"/>
      <w:sz w:val="21"/>
      <w:szCs w:val="21"/>
      <w:lang/>
    </w:rPr>
  </w:style>
  <w:style w:type="character" w:customStyle="1" w:styleId="12">
    <w:name w:val="Текст Знак1"/>
    <w:link w:val="a9"/>
    <w:uiPriority w:val="99"/>
    <w:rPr>
      <w:rFonts w:ascii="Courier New" w:hAnsi="Courier New" w:cs="Courier New" w:hint="default"/>
      <w:sz w:val="21"/>
      <w:szCs w:val="21"/>
    </w:rPr>
  </w:style>
  <w:style w:type="paragraph" w:styleId="aa">
    <w:name w:val="endnote text"/>
    <w:basedOn w:val="a"/>
    <w:link w:val="13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3">
    <w:name w:val="Текст концевой сноски Знак1"/>
    <w:basedOn w:val="a0"/>
    <w:link w:val="aa"/>
    <w:uiPriority w:val="99"/>
    <w:semiHidden/>
    <w:rPr>
      <w:rFonts w:hint="default"/>
      <w:sz w:val="20"/>
      <w:szCs w:val="20"/>
    </w:rPr>
  </w:style>
  <w:style w:type="paragraph" w:styleId="ab">
    <w:name w:val="caption"/>
    <w:basedOn w:val="a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footnote text"/>
    <w:basedOn w:val="a"/>
    <w:link w:val="14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4">
    <w:name w:val="Текст сноски Знак1"/>
    <w:basedOn w:val="a0"/>
    <w:link w:val="ac"/>
    <w:uiPriority w:val="99"/>
    <w:semiHidden/>
    <w:rPr>
      <w:rFonts w:hint="default"/>
      <w:sz w:val="20"/>
      <w:szCs w:val="20"/>
    </w:rPr>
  </w:style>
  <w:style w:type="paragraph" w:styleId="ad">
    <w:name w:val="header"/>
    <w:basedOn w:val="a"/>
    <w:link w:val="15"/>
    <w:uiPriority w:val="99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5">
    <w:name w:val="Верхний колонтитул Знак1"/>
    <w:link w:val="ad"/>
    <w:uiPriority w:val="99"/>
    <w:rPr>
      <w:rFonts w:hint="default"/>
    </w:rPr>
  </w:style>
  <w:style w:type="paragraph" w:styleId="ae">
    <w:name w:val="Body Text"/>
    <w:basedOn w:val="a"/>
    <w:pPr>
      <w:spacing w:after="120"/>
    </w:pPr>
  </w:style>
  <w:style w:type="paragraph" w:styleId="af">
    <w:name w:val="Body Text Indent"/>
    <w:basedOn w:val="a"/>
    <w:link w:val="af0"/>
    <w:uiPriority w:val="99"/>
    <w:unhideWhenUsed/>
    <w:pPr>
      <w:spacing w:after="120"/>
      <w:ind w:left="283"/>
    </w:pPr>
    <w:rPr>
      <w:rFonts w:eastAsia="Times New Roman" w:cs="Times New Roman"/>
      <w:lang/>
    </w:rPr>
  </w:style>
  <w:style w:type="character" w:customStyle="1" w:styleId="af0">
    <w:name w:val="Основной текст с отступом Знак"/>
    <w:link w:val="af"/>
    <w:uiPriority w:val="99"/>
    <w:rPr>
      <w:rFonts w:ascii="Calibri" w:eastAsia="Times New Roman" w:hAnsi="Calibri" w:cs="Times New Roman" w:hint="default"/>
      <w:sz w:val="22"/>
      <w:szCs w:val="22"/>
    </w:rPr>
  </w:style>
  <w:style w:type="paragraph" w:styleId="af1">
    <w:name w:val="Title"/>
    <w:basedOn w:val="a"/>
    <w:next w:val="ae"/>
    <w:link w:val="af2"/>
    <w:uiPriority w:val="10"/>
    <w:qFormat/>
    <w:pPr>
      <w:keepNext/>
      <w:spacing w:before="240" w:after="120"/>
    </w:pPr>
    <w:rPr>
      <w:rFonts w:ascii="Times New Roman" w:eastAsia="Times New Roman" w:hAnsi="Times New Roman" w:cs="Times New Roman"/>
      <w:color w:val="333F4F"/>
      <w:spacing w:val="5"/>
      <w:sz w:val="52"/>
      <w:szCs w:val="52"/>
      <w:lang/>
    </w:rPr>
  </w:style>
  <w:style w:type="character" w:customStyle="1" w:styleId="af2">
    <w:name w:val="Название Знак"/>
    <w:link w:val="af1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af3">
    <w:name w:val="footer"/>
    <w:basedOn w:val="a"/>
    <w:link w:val="16"/>
    <w:uiPriority w:val="99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6">
    <w:name w:val="Нижний колонтитул Знак1"/>
    <w:link w:val="af3"/>
    <w:uiPriority w:val="99"/>
    <w:rPr>
      <w:rFonts w:hint="default"/>
    </w:rPr>
  </w:style>
  <w:style w:type="paragraph" w:styleId="af4">
    <w:name w:val="List"/>
    <w:basedOn w:val="ae"/>
    <w:rPr>
      <w:rFonts w:cs="Lucida Sans"/>
    </w:rPr>
  </w:style>
  <w:style w:type="paragraph" w:styleId="af5">
    <w:name w:val="Subtitle"/>
    <w:basedOn w:val="a"/>
    <w:next w:val="a"/>
    <w:link w:val="17"/>
    <w:uiPriority w:val="11"/>
    <w:qFormat/>
    <w:rPr>
      <w:rFonts w:ascii="Times New Roman" w:eastAsia="Times New Roman" w:hAnsi="Times New Roman" w:cs="Times New Roman"/>
      <w:i/>
      <w:iCs/>
      <w:color w:val="4472C4"/>
      <w:spacing w:val="15"/>
      <w:sz w:val="24"/>
      <w:szCs w:val="24"/>
      <w:lang/>
    </w:rPr>
  </w:style>
  <w:style w:type="character" w:customStyle="1" w:styleId="17">
    <w:name w:val="Подзаголовок Знак1"/>
    <w:basedOn w:val="a0"/>
    <w:link w:val="af5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table" w:styleId="af6">
    <w:name w:val="Table Grid"/>
    <w:basedOn w:val="a1"/>
    <w:next w:val="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Symbol" w:eastAsia="Times New Roman" w:hAnsi="Symbol" w:cs="Symbol" w:hint="default"/>
      <w:sz w:val="28"/>
      <w:szCs w:val="28"/>
      <w:lang w:eastAsia="ru-RU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hint="default"/>
    </w:rPr>
  </w:style>
  <w:style w:type="character" w:customStyle="1" w:styleId="WW8Num2z4">
    <w:name w:val="WW8Num2z4"/>
    <w:rPr>
      <w:rFonts w:hint="default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hint="default"/>
    </w:rPr>
  </w:style>
  <w:style w:type="character" w:customStyle="1" w:styleId="WW8Num2z7">
    <w:name w:val="WW8Num2z7"/>
    <w:rPr>
      <w:rFonts w:hint="default"/>
    </w:rPr>
  </w:style>
  <w:style w:type="character" w:customStyle="1" w:styleId="WW8Num2z8">
    <w:name w:val="WW8Num2z8"/>
    <w:rPr>
      <w:rFonts w:hint="default"/>
    </w:rPr>
  </w:style>
  <w:style w:type="character" w:customStyle="1" w:styleId="af7">
    <w:name w:val="Верхний колонтитул Знак"/>
    <w:uiPriority w:val="9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8">
    <w:name w:val="Акты Знак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af9">
    <w:name w:val="Нижний колонтитул Знак"/>
    <w:rPr>
      <w:rFonts w:hint="default"/>
    </w:rPr>
  </w:style>
  <w:style w:type="character" w:customStyle="1" w:styleId="22">
    <w:name w:val="Основной текст с отступом 2 Знак"/>
    <w:rPr>
      <w:rFonts w:hint="default"/>
    </w:rPr>
  </w:style>
  <w:style w:type="character" w:customStyle="1" w:styleId="afa">
    <w:name w:val="Текст выноски Знак"/>
    <w:rPr>
      <w:rFonts w:ascii="Tahoma" w:hAnsi="Tahoma" w:cs="Tahoma" w:hint="default"/>
      <w:sz w:val="16"/>
      <w:szCs w:val="16"/>
    </w:rPr>
  </w:style>
  <w:style w:type="character" w:customStyle="1" w:styleId="23">
    <w:name w:val="Основной текст 2 Знак"/>
    <w:uiPriority w:val="99"/>
    <w:rPr>
      <w:rFonts w:hint="default"/>
    </w:rPr>
  </w:style>
  <w:style w:type="character" w:customStyle="1" w:styleId="ListLabel1">
    <w:name w:val="ListLabel 1"/>
    <w:rPr>
      <w:rFonts w:cs="Courier New" w:hint="default"/>
    </w:rPr>
  </w:style>
  <w:style w:type="paragraph" w:customStyle="1" w:styleId="18">
    <w:name w:val="Указатель1"/>
    <w:basedOn w:val="a"/>
    <w:rPr>
      <w:rFonts w:cs="Lucida Sans"/>
    </w:rPr>
  </w:style>
  <w:style w:type="paragraph" w:customStyle="1" w:styleId="afb">
    <w:name w:val="Акты"/>
    <w:basedOn w:val="a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link w:val="ConsPlusNormal0"/>
    <w:pPr>
      <w:spacing w:line="100" w:lineRule="atLeast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rPr>
      <w:rFonts w:eastAsia="Calibri"/>
      <w:sz w:val="28"/>
      <w:szCs w:val="28"/>
      <w:lang w:bidi="ar-SA"/>
    </w:rPr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character" w:customStyle="1" w:styleId="210">
    <w:name w:val="Основной текст 2 Знак1"/>
    <w:uiPriority w:val="99"/>
    <w:semiHidden/>
    <w:rPr>
      <w:rFonts w:ascii="Calibri" w:eastAsia="SimSun" w:hAnsi="Calibri" w:cs="Calibri" w:hint="default"/>
      <w:sz w:val="22"/>
      <w:szCs w:val="22"/>
      <w:lang w:eastAsia="en-US"/>
    </w:rPr>
  </w:style>
  <w:style w:type="character" w:customStyle="1" w:styleId="19">
    <w:name w:val="Заголовок 1 Знак"/>
    <w:uiPriority w:val="9"/>
    <w:rPr>
      <w:rFonts w:hint="default"/>
      <w:b/>
      <w:bCs/>
      <w:sz w:val="48"/>
      <w:szCs w:val="48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character" w:customStyle="1" w:styleId="afe">
    <w:name w:val="Текст Знак"/>
    <w:semiHidden/>
    <w:rPr>
      <w:rFonts w:ascii="Courier New" w:hAnsi="Courier New" w:cs="Courier New" w:hint="default"/>
    </w:rPr>
  </w:style>
  <w:style w:type="paragraph" w:styleId="aff">
    <w:name w:val="No Spacing"/>
    <w:uiPriority w:val="1"/>
    <w:qFormat/>
  </w:style>
  <w:style w:type="character" w:customStyle="1" w:styleId="24">
    <w:name w:val="Заголовок 2 Знак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uiPriority w:val="9"/>
    <w:rPr>
      <w:rFonts w:cs="Times New Roman" w:hint="default"/>
      <w:b/>
      <w:bCs/>
      <w:color w:val="4472C4"/>
    </w:rPr>
  </w:style>
  <w:style w:type="character" w:customStyle="1" w:styleId="40">
    <w:name w:val="Заголовок 4 Знак"/>
    <w:uiPriority w:val="9"/>
    <w:rPr>
      <w:rFonts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uiPriority w:val="9"/>
    <w:rPr>
      <w:rFonts w:cs="Times New Roman" w:hint="default"/>
      <w:color w:val="1F3763"/>
    </w:rPr>
  </w:style>
  <w:style w:type="character" w:customStyle="1" w:styleId="60">
    <w:name w:val="Заголовок 6 Знак"/>
    <w:uiPriority w:val="9"/>
    <w:rPr>
      <w:rFonts w:cs="Times New Roman" w:hint="default"/>
      <w:i/>
      <w:iCs/>
      <w:color w:val="1F3763"/>
    </w:rPr>
  </w:style>
  <w:style w:type="character" w:customStyle="1" w:styleId="70">
    <w:name w:val="Заголовок 7 Знак"/>
    <w:uiPriority w:val="9"/>
    <w:rPr>
      <w:rFonts w:cs="Times New Roman" w:hint="default"/>
      <w:i/>
      <w:iCs/>
      <w:color w:val="404040"/>
    </w:rPr>
  </w:style>
  <w:style w:type="character" w:customStyle="1" w:styleId="80">
    <w:name w:val="Заголовок 8 Знак"/>
    <w:uiPriority w:val="9"/>
    <w:rPr>
      <w:rFonts w:cs="Times New Roman" w:hint="default"/>
      <w:color w:val="404040"/>
      <w:sz w:val="20"/>
      <w:szCs w:val="20"/>
    </w:rPr>
  </w:style>
  <w:style w:type="character" w:customStyle="1" w:styleId="90">
    <w:name w:val="Заголовок 9 Знак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aff0">
    <w:name w:val="Подзаголовок Знак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aff1">
    <w:name w:val="Subtle Emphasis"/>
    <w:uiPriority w:val="19"/>
    <w:qFormat/>
    <w:rPr>
      <w:rFonts w:hint="default"/>
      <w:i/>
      <w:iCs/>
      <w:color w:val="808080"/>
    </w:rPr>
  </w:style>
  <w:style w:type="character" w:styleId="aff2">
    <w:name w:val="Intense Emphasis"/>
    <w:uiPriority w:val="21"/>
    <w:qFormat/>
    <w:rPr>
      <w:rFonts w:hint="default"/>
      <w:b/>
      <w:bCs/>
      <w:i/>
      <w:iCs/>
      <w:color w:val="4472C4"/>
    </w:rPr>
  </w:style>
  <w:style w:type="paragraph" w:styleId="25">
    <w:name w:val="Quote"/>
    <w:basedOn w:val="a"/>
    <w:next w:val="a"/>
    <w:link w:val="211"/>
    <w:uiPriority w:val="29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/>
    </w:rPr>
  </w:style>
  <w:style w:type="character" w:customStyle="1" w:styleId="211">
    <w:name w:val="Цитата 2 Знак1"/>
    <w:basedOn w:val="a0"/>
    <w:link w:val="25"/>
    <w:uiPriority w:val="29"/>
    <w:rPr>
      <w:rFonts w:hint="default"/>
      <w:i/>
      <w:iCs/>
      <w:color w:val="000000"/>
    </w:rPr>
  </w:style>
  <w:style w:type="character" w:customStyle="1" w:styleId="26">
    <w:name w:val="Цитата 2 Знак"/>
    <w:uiPriority w:val="29"/>
    <w:rPr>
      <w:rFonts w:hint="default"/>
      <w:i/>
      <w:iCs/>
      <w:color w:val="000000"/>
    </w:rPr>
  </w:style>
  <w:style w:type="paragraph" w:styleId="aff3">
    <w:name w:val="Intense Quote"/>
    <w:basedOn w:val="a"/>
    <w:next w:val="a"/>
    <w:link w:val="1a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472C4"/>
      <w:sz w:val="20"/>
      <w:szCs w:val="20"/>
      <w:lang/>
    </w:rPr>
  </w:style>
  <w:style w:type="character" w:customStyle="1" w:styleId="1a">
    <w:name w:val="Выделенная цитата Знак1"/>
    <w:basedOn w:val="a0"/>
    <w:link w:val="aff3"/>
    <w:uiPriority w:val="30"/>
    <w:rPr>
      <w:rFonts w:hint="default"/>
      <w:b/>
      <w:bCs/>
      <w:i/>
      <w:iCs/>
      <w:color w:val="4472C4"/>
    </w:rPr>
  </w:style>
  <w:style w:type="character" w:customStyle="1" w:styleId="aff4">
    <w:name w:val="Выделенная цитата Знак"/>
    <w:uiPriority w:val="30"/>
    <w:rPr>
      <w:rFonts w:hint="default"/>
      <w:b/>
      <w:bCs/>
      <w:i/>
      <w:iCs/>
      <w:color w:val="4472C4"/>
    </w:rPr>
  </w:style>
  <w:style w:type="character" w:styleId="aff5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f6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f7">
    <w:name w:val="Book Title"/>
    <w:uiPriority w:val="33"/>
    <w:qFormat/>
    <w:rPr>
      <w:rFonts w:hint="default"/>
      <w:b/>
      <w:bCs/>
      <w:smallCaps/>
      <w:spacing w:val="5"/>
    </w:rPr>
  </w:style>
  <w:style w:type="character" w:customStyle="1" w:styleId="aff8">
    <w:name w:val="Текст сноски Знак"/>
    <w:uiPriority w:val="99"/>
    <w:semiHidden/>
    <w:rPr>
      <w:rFonts w:hint="default"/>
      <w:sz w:val="20"/>
      <w:szCs w:val="20"/>
    </w:rPr>
  </w:style>
  <w:style w:type="character" w:customStyle="1" w:styleId="aff9">
    <w:name w:val="Текст концевой сноски Знак"/>
    <w:uiPriority w:val="99"/>
    <w:semiHidden/>
    <w:rPr>
      <w:rFonts w:hint="default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3</cp:revision>
  <dcterms:created xsi:type="dcterms:W3CDTF">2024-06-27T12:05:00Z</dcterms:created>
  <dcterms:modified xsi:type="dcterms:W3CDTF">2024-06-27T12:09:00Z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DC1006FF8E5E4ECAA784915D1131D291_12</vt:lpwstr>
  </property>
</Properties>
</file>